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010C9B25" w:rsidR="00461FBF" w:rsidRPr="00FC1516" w:rsidRDefault="00461FBF" w:rsidP="00BE11EB">
      <w:pPr>
        <w:pStyle w:val="31"/>
        <w:pBdr>
          <w:top w:val="none" w:sz="0" w:space="0" w:color="auto"/>
          <w:bottom w:val="none" w:sz="0" w:space="0" w:color="auto"/>
        </w:pBdr>
        <w:shd w:val="clear" w:color="auto" w:fill="auto"/>
        <w:spacing w:line="0" w:lineRule="atLeast"/>
        <w:jc w:val="right"/>
        <w:rPr>
          <w:rFonts w:ascii="Times New Roman" w:hAnsi="Times New Roman" w:cs="Times New Roman"/>
          <w:szCs w:val="22"/>
        </w:rPr>
      </w:pPr>
      <w:bookmarkStart w:id="0" w:name="_Ref343084605"/>
      <w:bookmarkStart w:id="1" w:name="_Toc448350103"/>
      <w:r w:rsidRPr="00FC1516">
        <w:rPr>
          <w:rFonts w:ascii="Times New Roman" w:hAnsi="Times New Roman" w:cs="Times New Roman"/>
          <w:szCs w:val="22"/>
        </w:rPr>
        <w:t>ПРИЛОЖЕНИЕ №</w:t>
      </w:r>
      <w:r w:rsidR="00213848">
        <w:rPr>
          <w:rFonts w:ascii="Times New Roman" w:hAnsi="Times New Roman" w:cs="Times New Roman"/>
          <w:szCs w:val="22"/>
        </w:rPr>
        <w:t>9</w:t>
      </w:r>
    </w:p>
    <w:p w14:paraId="46B42C46" w14:textId="77777777" w:rsidR="00461FBF" w:rsidRPr="00FC1516" w:rsidRDefault="00461FBF" w:rsidP="00BE11EB">
      <w:pPr>
        <w:pStyle w:val="31"/>
        <w:pBdr>
          <w:top w:val="none" w:sz="0" w:space="0" w:color="auto"/>
          <w:bottom w:val="none" w:sz="0" w:space="0" w:color="auto"/>
        </w:pBdr>
        <w:shd w:val="clear" w:color="auto" w:fill="auto"/>
        <w:spacing w:line="0" w:lineRule="atLeast"/>
        <w:jc w:val="center"/>
        <w:rPr>
          <w:rFonts w:ascii="Times New Roman" w:hAnsi="Times New Roman" w:cs="Times New Roman"/>
          <w:szCs w:val="22"/>
        </w:rPr>
      </w:pPr>
    </w:p>
    <w:bookmarkEnd w:id="0"/>
    <w:bookmarkEnd w:id="1"/>
    <w:p w14:paraId="09134530" w14:textId="098B80A3" w:rsidR="008342D6" w:rsidRPr="00FC1516" w:rsidRDefault="00217C4E" w:rsidP="00BE11EB">
      <w:pPr>
        <w:pStyle w:val="31"/>
        <w:pBdr>
          <w:top w:val="none" w:sz="0" w:space="0" w:color="auto"/>
          <w:bottom w:val="none" w:sz="0" w:space="0" w:color="auto"/>
        </w:pBdr>
        <w:shd w:val="clear" w:color="auto" w:fill="auto"/>
        <w:spacing w:line="0" w:lineRule="atLeast"/>
        <w:jc w:val="center"/>
        <w:rPr>
          <w:rFonts w:ascii="Times New Roman" w:hAnsi="Times New Roman" w:cs="Times New Roman"/>
          <w:b w:val="0"/>
          <w:szCs w:val="22"/>
        </w:rPr>
      </w:pPr>
      <w:r w:rsidRPr="00FC1516">
        <w:rPr>
          <w:rFonts w:ascii="Times New Roman" w:hAnsi="Times New Roman" w:cs="Times New Roman"/>
          <w:szCs w:val="22"/>
        </w:rPr>
        <w:t>ТЕХНИЧЕСКИ СПЕЦИФИКАЦИИ</w:t>
      </w:r>
    </w:p>
    <w:p w14:paraId="670C706D" w14:textId="7F223601" w:rsidR="00217C4E" w:rsidRPr="00FC1516" w:rsidRDefault="00217C4E" w:rsidP="00BE11EB">
      <w:pPr>
        <w:pStyle w:val="31"/>
        <w:pBdr>
          <w:top w:val="none" w:sz="0" w:space="0" w:color="auto"/>
          <w:bottom w:val="none" w:sz="0" w:space="0" w:color="auto"/>
        </w:pBdr>
        <w:shd w:val="clear" w:color="auto" w:fill="auto"/>
        <w:spacing w:line="0" w:lineRule="atLeast"/>
        <w:rPr>
          <w:rFonts w:ascii="Times New Roman" w:hAnsi="Times New Roman" w:cs="Times New Roman"/>
          <w:b w:val="0"/>
          <w:szCs w:val="22"/>
        </w:rPr>
      </w:pPr>
    </w:p>
    <w:p w14:paraId="3A574ABC" w14:textId="77777777" w:rsidR="000C6227" w:rsidRPr="00FC1516" w:rsidRDefault="000C6227" w:rsidP="00C1018B">
      <w:pPr>
        <w:pStyle w:val="10"/>
      </w:pPr>
      <w:bookmarkStart w:id="2" w:name="_Ref317614125"/>
      <w:bookmarkStart w:id="3" w:name="_Toc448409760"/>
      <w:r w:rsidRPr="00FC1516">
        <w:t>ОБЩА ИНФОРМАЦИЯ</w:t>
      </w:r>
      <w:bookmarkEnd w:id="2"/>
      <w:bookmarkEnd w:id="3"/>
    </w:p>
    <w:p w14:paraId="032B595E" w14:textId="348BA1D1" w:rsidR="000C6227" w:rsidRPr="00FC1516" w:rsidRDefault="000C6227" w:rsidP="00B656A9">
      <w:pPr>
        <w:pStyle w:val="20"/>
        <w:pageBreakBefore w:val="0"/>
        <w:numPr>
          <w:ilvl w:val="1"/>
          <w:numId w:val="22"/>
        </w:numPr>
        <w:spacing w:line="0" w:lineRule="atLeast"/>
        <w:rPr>
          <w:szCs w:val="22"/>
          <w:lang w:eastAsia="en-US"/>
        </w:rPr>
      </w:pPr>
      <w:bookmarkStart w:id="4" w:name="_Toc448409761"/>
      <w:r w:rsidRPr="00FC1516">
        <w:rPr>
          <w:szCs w:val="22"/>
          <w:lang w:eastAsia="en-US"/>
        </w:rPr>
        <w:t>ВЪЗЛОЖИТЕЛ</w:t>
      </w:r>
      <w:bookmarkEnd w:id="4"/>
    </w:p>
    <w:p w14:paraId="31102D3D" w14:textId="069B2E15" w:rsidR="000C6227" w:rsidRPr="00FC1516" w:rsidRDefault="009614BE" w:rsidP="00B656A9">
      <w:pPr>
        <w:numPr>
          <w:ilvl w:val="2"/>
          <w:numId w:val="22"/>
        </w:numPr>
        <w:spacing w:before="120" w:after="120" w:line="0" w:lineRule="atLeast"/>
        <w:jc w:val="both"/>
        <w:rPr>
          <w:sz w:val="22"/>
          <w:szCs w:val="22"/>
          <w:lang w:val="bg-BG" w:eastAsia="en-US"/>
        </w:rPr>
      </w:pPr>
      <w:r w:rsidRPr="00FC1516">
        <w:rPr>
          <w:sz w:val="22"/>
          <w:szCs w:val="22"/>
          <w:lang w:val="bg-BG" w:eastAsia="en-US"/>
        </w:rPr>
        <w:t>Възложител на настоящата обществена поръчка е Николай Йорданов Зайчев – кмет на община Пещера</w:t>
      </w:r>
      <w:r w:rsidR="000C6227" w:rsidRPr="00FC1516">
        <w:rPr>
          <w:sz w:val="22"/>
          <w:szCs w:val="22"/>
          <w:lang w:val="bg-BG" w:eastAsia="en-US"/>
        </w:rPr>
        <w:t>.</w:t>
      </w:r>
    </w:p>
    <w:p w14:paraId="54A43894" w14:textId="77777777" w:rsidR="000C6227" w:rsidRPr="00FC1516" w:rsidRDefault="000C6227" w:rsidP="00B656A9">
      <w:pPr>
        <w:pStyle w:val="20"/>
        <w:pageBreakBefore w:val="0"/>
        <w:numPr>
          <w:ilvl w:val="1"/>
          <w:numId w:val="22"/>
        </w:numPr>
        <w:spacing w:line="0" w:lineRule="atLeast"/>
        <w:rPr>
          <w:szCs w:val="22"/>
          <w:lang w:eastAsia="en-US"/>
        </w:rPr>
      </w:pPr>
      <w:bookmarkStart w:id="5" w:name="_Toc448409762"/>
      <w:r w:rsidRPr="00FC1516">
        <w:rPr>
          <w:szCs w:val="22"/>
          <w:lang w:eastAsia="en-US"/>
        </w:rPr>
        <w:t>ВЪВЕДЕНИЕ</w:t>
      </w:r>
      <w:bookmarkEnd w:id="5"/>
    </w:p>
    <w:p w14:paraId="27DE6490" w14:textId="13B3603B" w:rsidR="000C6227" w:rsidRPr="00FC1516" w:rsidRDefault="000C6227" w:rsidP="00B656A9">
      <w:pPr>
        <w:numPr>
          <w:ilvl w:val="2"/>
          <w:numId w:val="22"/>
        </w:numPr>
        <w:spacing w:before="120" w:after="120" w:line="0" w:lineRule="atLeast"/>
        <w:jc w:val="both"/>
        <w:rPr>
          <w:sz w:val="22"/>
          <w:szCs w:val="22"/>
          <w:lang w:val="bg-BG" w:eastAsia="en-US"/>
        </w:rPr>
      </w:pPr>
      <w:r w:rsidRPr="00FC1516">
        <w:rPr>
          <w:sz w:val="22"/>
          <w:szCs w:val="22"/>
          <w:lang w:val="bg-BG" w:eastAsia="en-US"/>
        </w:rPr>
        <w:t>Настоящи</w:t>
      </w:r>
      <w:r w:rsidR="009614BE" w:rsidRPr="00FC1516">
        <w:rPr>
          <w:sz w:val="22"/>
          <w:szCs w:val="22"/>
          <w:lang w:val="bg-BG" w:eastAsia="en-US"/>
        </w:rPr>
        <w:t xml:space="preserve">те </w:t>
      </w:r>
      <w:r w:rsidRPr="00FC1516">
        <w:rPr>
          <w:sz w:val="22"/>
          <w:szCs w:val="22"/>
          <w:lang w:val="bg-BG" w:eastAsia="en-US"/>
        </w:rPr>
        <w:t>ТЕХНИЧЕСКИ СПЕЦИФИКАЦИИ са разработени въз основа на действ</w:t>
      </w:r>
      <w:r w:rsidR="00A405F0">
        <w:rPr>
          <w:sz w:val="22"/>
          <w:szCs w:val="22"/>
          <w:lang w:val="bg-BG" w:eastAsia="en-US"/>
        </w:rPr>
        <w:t>ащото българско законодателство.</w:t>
      </w:r>
    </w:p>
    <w:p w14:paraId="19C4B8B7" w14:textId="77777777" w:rsidR="000C6227" w:rsidRPr="00FC1516" w:rsidRDefault="000C6227" w:rsidP="00B656A9">
      <w:pPr>
        <w:numPr>
          <w:ilvl w:val="2"/>
          <w:numId w:val="22"/>
        </w:numPr>
        <w:spacing w:before="120" w:after="120" w:line="0" w:lineRule="atLeast"/>
        <w:jc w:val="both"/>
        <w:rPr>
          <w:sz w:val="22"/>
          <w:szCs w:val="22"/>
          <w:lang w:val="bg-BG" w:eastAsia="en-US"/>
        </w:rPr>
      </w:pPr>
      <w:r w:rsidRPr="00FC1516">
        <w:rPr>
          <w:sz w:val="22"/>
          <w:szCs w:val="22"/>
          <w:lang w:val="bg-BG" w:eastAsia="en-US"/>
        </w:rPr>
        <w:t>В Технически спецификации са описани изискванията, към дейностите, които трябва да се изпълнят в изпълнение на предмета на обществената поръчка.</w:t>
      </w:r>
    </w:p>
    <w:p w14:paraId="2AEEF423" w14:textId="4F588B28" w:rsidR="000C6227" w:rsidRPr="00FC1516" w:rsidRDefault="000C6227" w:rsidP="00B656A9">
      <w:pPr>
        <w:numPr>
          <w:ilvl w:val="2"/>
          <w:numId w:val="22"/>
        </w:numPr>
        <w:spacing w:before="120" w:after="120" w:line="0" w:lineRule="atLeast"/>
        <w:jc w:val="both"/>
        <w:rPr>
          <w:sz w:val="22"/>
          <w:szCs w:val="22"/>
          <w:lang w:val="bg-BG" w:eastAsia="en-US"/>
        </w:rPr>
      </w:pPr>
      <w:r w:rsidRPr="00FC1516">
        <w:rPr>
          <w:sz w:val="22"/>
          <w:szCs w:val="22"/>
          <w:lang w:val="bg-BG" w:eastAsia="en-US"/>
        </w:rPr>
        <w:t>В съответствие с разпоредбите на чл.32, ал. 1 и ал.2 от ЗОП, в случай, че в документацията по настоящата обществена поръчка, така и настоящите Спецификации са посочвани конкретен модел, източник, процес, търговска марка, патент, тип, произход или производство – да се чете и разбира „ИЛИ ЕКВИВАЛЕНТНО”.</w:t>
      </w:r>
    </w:p>
    <w:p w14:paraId="2C18AA46" w14:textId="77777777" w:rsidR="000C6227" w:rsidRPr="00FC1516" w:rsidRDefault="000C6227" w:rsidP="00C1018B">
      <w:pPr>
        <w:pStyle w:val="10"/>
      </w:pPr>
      <w:bookmarkStart w:id="6" w:name="_Ref320626344"/>
      <w:bookmarkStart w:id="7" w:name="_Toc448409763"/>
      <w:r w:rsidRPr="00FC1516">
        <w:t>ОБХВАТ НА ОБЩЕСТВЕНАТА ПОРЪЧКА</w:t>
      </w:r>
      <w:bookmarkEnd w:id="6"/>
      <w:bookmarkEnd w:id="7"/>
    </w:p>
    <w:p w14:paraId="114A810C" w14:textId="0A113AEF" w:rsidR="000C6227" w:rsidRPr="00FC1516" w:rsidRDefault="000C6227" w:rsidP="00B656A9">
      <w:pPr>
        <w:pStyle w:val="20"/>
        <w:pageBreakBefore w:val="0"/>
        <w:numPr>
          <w:ilvl w:val="1"/>
          <w:numId w:val="22"/>
        </w:numPr>
        <w:spacing w:line="0" w:lineRule="atLeast"/>
        <w:rPr>
          <w:szCs w:val="22"/>
          <w:lang w:eastAsia="en-US"/>
        </w:rPr>
      </w:pPr>
      <w:bookmarkStart w:id="8" w:name="_Toc448409764"/>
      <w:r w:rsidRPr="00FC1516">
        <w:rPr>
          <w:szCs w:val="22"/>
          <w:lang w:eastAsia="en-US"/>
        </w:rPr>
        <w:t>ПЪЛНО ОПИСАНИЕ НА ПРЕДМЕТА НА ОБЩЕСТВЕНАТА ПОРЪЧКА</w:t>
      </w:r>
      <w:bookmarkEnd w:id="8"/>
    </w:p>
    <w:p w14:paraId="1B2CFB78" w14:textId="2319004F" w:rsidR="00B656A9" w:rsidRDefault="00B656A9" w:rsidP="00B656A9">
      <w:pPr>
        <w:pStyle w:val="-3"/>
        <w:numPr>
          <w:ilvl w:val="2"/>
          <w:numId w:val="22"/>
        </w:numPr>
      </w:pPr>
      <w:r w:rsidRPr="003A09E5">
        <w:rPr>
          <w:szCs w:val="22"/>
        </w:rPr>
        <w:t xml:space="preserve"> „</w:t>
      </w:r>
      <w:r>
        <w:rPr>
          <w:szCs w:val="22"/>
        </w:rPr>
        <w:t xml:space="preserve">Периодична доставка на хранителни продукти за нуждите на Домашен социален патронаж гр. Пещера </w:t>
      </w:r>
      <w:r w:rsidR="00CB556A">
        <w:rPr>
          <w:szCs w:val="22"/>
        </w:rPr>
        <w:t>с 8</w:t>
      </w:r>
      <w:r w:rsidRPr="007D085E">
        <w:rPr>
          <w:szCs w:val="22"/>
        </w:rPr>
        <w:t xml:space="preserve"> обособени позиции</w:t>
      </w:r>
      <w:r>
        <w:rPr>
          <w:szCs w:val="22"/>
        </w:rPr>
        <w:t>“</w:t>
      </w:r>
      <w:r>
        <w:t>:</w:t>
      </w:r>
    </w:p>
    <w:p w14:paraId="27B7F620" w14:textId="77777777" w:rsidR="00B656A9" w:rsidRPr="00B453A8" w:rsidRDefault="00B656A9" w:rsidP="00B656A9">
      <w:pPr>
        <w:pStyle w:val="-4"/>
        <w:numPr>
          <w:ilvl w:val="3"/>
          <w:numId w:val="22"/>
        </w:numPr>
      </w:pPr>
      <w:r w:rsidRPr="0085409C">
        <w:rPr>
          <w:b/>
        </w:rPr>
        <w:t>ОБОСОБЕНА ПОЗИЦИЯ №1 – „</w:t>
      </w:r>
      <w:r>
        <w:rPr>
          <w:b/>
        </w:rPr>
        <w:t>Месо и месни продукти“</w:t>
      </w:r>
    </w:p>
    <w:p w14:paraId="5769E0B2" w14:textId="77777777" w:rsidR="00B656A9" w:rsidRPr="00B453A8" w:rsidRDefault="00B656A9" w:rsidP="00B656A9">
      <w:pPr>
        <w:pStyle w:val="-4"/>
        <w:numPr>
          <w:ilvl w:val="3"/>
          <w:numId w:val="22"/>
        </w:numPr>
      </w:pPr>
      <w:r w:rsidRPr="00F34D97">
        <w:rPr>
          <w:b/>
        </w:rPr>
        <w:t>ОБОСОБЕНА ПОЗИЦИЯ №2 –</w:t>
      </w:r>
      <w:r>
        <w:rPr>
          <w:b/>
        </w:rPr>
        <w:t>„Мляко и млечни продукти</w:t>
      </w:r>
      <w:r w:rsidRPr="00F34D97">
        <w:rPr>
          <w:b/>
        </w:rPr>
        <w:t>“</w:t>
      </w:r>
    </w:p>
    <w:p w14:paraId="13DDF9EA" w14:textId="77777777" w:rsidR="00B656A9" w:rsidRPr="00B453A8" w:rsidRDefault="00B656A9" w:rsidP="00B656A9">
      <w:pPr>
        <w:pStyle w:val="-4"/>
        <w:numPr>
          <w:ilvl w:val="3"/>
          <w:numId w:val="22"/>
        </w:numPr>
      </w:pPr>
      <w:r w:rsidRPr="0085409C">
        <w:rPr>
          <w:b/>
        </w:rPr>
        <w:t>ОБОСОБЕНА ПОЗИЦИЯ №</w:t>
      </w:r>
      <w:r>
        <w:rPr>
          <w:b/>
        </w:rPr>
        <w:t>3</w:t>
      </w:r>
      <w:r w:rsidRPr="0085409C">
        <w:rPr>
          <w:b/>
        </w:rPr>
        <w:t xml:space="preserve"> – </w:t>
      </w:r>
      <w:r>
        <w:rPr>
          <w:b/>
        </w:rPr>
        <w:t xml:space="preserve">„Масла и мазнини“ </w:t>
      </w:r>
    </w:p>
    <w:p w14:paraId="45C9330A" w14:textId="77777777" w:rsidR="00B656A9" w:rsidRDefault="00B656A9" w:rsidP="00B656A9">
      <w:pPr>
        <w:pStyle w:val="-4"/>
        <w:numPr>
          <w:ilvl w:val="3"/>
          <w:numId w:val="22"/>
        </w:numPr>
      </w:pPr>
      <w:r>
        <w:rPr>
          <w:b/>
        </w:rPr>
        <w:t>ОБОСОБЕНА ПОЗИЦИЯ №4 – „Яйца“</w:t>
      </w:r>
    </w:p>
    <w:p w14:paraId="52B7E6D7" w14:textId="77777777" w:rsidR="00B656A9" w:rsidRPr="00B453A8" w:rsidRDefault="00B656A9" w:rsidP="00B656A9">
      <w:pPr>
        <w:pStyle w:val="-4"/>
        <w:numPr>
          <w:ilvl w:val="3"/>
          <w:numId w:val="22"/>
        </w:numPr>
        <w:rPr>
          <w:b/>
        </w:rPr>
      </w:pPr>
      <w:r w:rsidRPr="00B453A8">
        <w:rPr>
          <w:b/>
        </w:rPr>
        <w:t xml:space="preserve">ОБОСОБЕНА ПОЗИЦИЯ №5 -  „Картофи, кореноплодни и варива“  </w:t>
      </w:r>
    </w:p>
    <w:p w14:paraId="741FA8A2" w14:textId="78676850" w:rsidR="00B656A9" w:rsidRPr="00E11C84" w:rsidRDefault="00B656A9" w:rsidP="00B656A9">
      <w:pPr>
        <w:pStyle w:val="-4"/>
        <w:numPr>
          <w:ilvl w:val="3"/>
          <w:numId w:val="22"/>
        </w:numPr>
      </w:pPr>
      <w:r w:rsidRPr="00B453A8">
        <w:rPr>
          <w:b/>
        </w:rPr>
        <w:t>ОБОСОБЕНА ПОЗИЦИЯ №6 -  „Други“</w:t>
      </w:r>
    </w:p>
    <w:p w14:paraId="3219C75D" w14:textId="112D927F" w:rsidR="00E11C84" w:rsidRDefault="00E11C84" w:rsidP="00B656A9">
      <w:pPr>
        <w:pStyle w:val="-4"/>
        <w:numPr>
          <w:ilvl w:val="3"/>
          <w:numId w:val="22"/>
        </w:numPr>
        <w:rPr>
          <w:b/>
        </w:rPr>
      </w:pPr>
      <w:r w:rsidRPr="00E11C84">
        <w:rPr>
          <w:b/>
        </w:rPr>
        <w:t>ОБОСОБЕНА ПОЗИЦИЯ №7 – „Захар и сладкарски захарни изделия“</w:t>
      </w:r>
    </w:p>
    <w:p w14:paraId="1C59C3AB" w14:textId="0BFBF45A" w:rsidR="00CB556A" w:rsidRPr="00E11C84" w:rsidRDefault="00CB556A" w:rsidP="00B656A9">
      <w:pPr>
        <w:pStyle w:val="-4"/>
        <w:numPr>
          <w:ilvl w:val="3"/>
          <w:numId w:val="22"/>
        </w:numPr>
        <w:rPr>
          <w:b/>
        </w:rPr>
      </w:pPr>
      <w:r>
        <w:rPr>
          <w:b/>
        </w:rPr>
        <w:t>ОБОСОБЕНА ПОЗИЦИЯ №8 – „Ядки“</w:t>
      </w:r>
    </w:p>
    <w:p w14:paraId="33EF7BCC" w14:textId="6BBC97CB" w:rsidR="00BB7178" w:rsidRPr="00FC1516" w:rsidRDefault="00BB7178" w:rsidP="00B656A9">
      <w:pPr>
        <w:numPr>
          <w:ilvl w:val="2"/>
          <w:numId w:val="22"/>
        </w:numPr>
        <w:spacing w:before="120" w:after="120" w:line="0" w:lineRule="atLeast"/>
        <w:jc w:val="both"/>
        <w:rPr>
          <w:sz w:val="22"/>
          <w:szCs w:val="22"/>
          <w:lang w:val="bg-BG"/>
        </w:rPr>
      </w:pPr>
      <w:r w:rsidRPr="00FC1516">
        <w:rPr>
          <w:sz w:val="22"/>
          <w:szCs w:val="22"/>
          <w:lang w:val="bg-BG"/>
        </w:rPr>
        <w:t xml:space="preserve">Предмет на настоящата обществена поръчка е избирането на независим изпълнител, притежаващ професионална квалификация и практически опит в изпълнение на следните дейности по обособени позиции, а именно: </w:t>
      </w:r>
    </w:p>
    <w:p w14:paraId="056D14E2" w14:textId="05392DC9" w:rsidR="00BB7178" w:rsidRDefault="00BB7178" w:rsidP="00B656A9">
      <w:pPr>
        <w:numPr>
          <w:ilvl w:val="3"/>
          <w:numId w:val="22"/>
        </w:numPr>
        <w:spacing w:before="120" w:after="120" w:line="0" w:lineRule="atLeast"/>
        <w:jc w:val="both"/>
        <w:rPr>
          <w:sz w:val="22"/>
          <w:szCs w:val="22"/>
          <w:lang w:val="bg-BG"/>
        </w:rPr>
      </w:pPr>
      <w:r w:rsidRPr="00FC1516">
        <w:rPr>
          <w:sz w:val="22"/>
          <w:szCs w:val="22"/>
          <w:lang w:val="bg-BG"/>
        </w:rPr>
        <w:t>За ОБОСОБЕНА ПОЗИЦИЯ от №1 до №</w:t>
      </w:r>
      <w:r w:rsidR="00CB556A">
        <w:rPr>
          <w:sz w:val="22"/>
          <w:szCs w:val="22"/>
          <w:lang w:val="bg-BG"/>
        </w:rPr>
        <w:t>8</w:t>
      </w:r>
      <w:r w:rsidRPr="00FC1516">
        <w:rPr>
          <w:sz w:val="22"/>
          <w:szCs w:val="22"/>
          <w:lang w:val="bg-BG"/>
        </w:rPr>
        <w:t xml:space="preserve"> включително</w:t>
      </w:r>
      <w:r w:rsidR="00CB556A">
        <w:rPr>
          <w:sz w:val="22"/>
          <w:szCs w:val="22"/>
          <w:lang w:val="bg-BG"/>
        </w:rPr>
        <w:t>, а именно</w:t>
      </w:r>
      <w:r w:rsidRPr="00FC1516">
        <w:rPr>
          <w:sz w:val="22"/>
          <w:szCs w:val="22"/>
          <w:lang w:val="bg-BG"/>
        </w:rPr>
        <w:t>:</w:t>
      </w:r>
    </w:p>
    <w:p w14:paraId="19D2D4E1" w14:textId="31F095F7" w:rsidR="00310E56" w:rsidRPr="00FC1516" w:rsidRDefault="00CB556A" w:rsidP="00B656A9">
      <w:pPr>
        <w:numPr>
          <w:ilvl w:val="4"/>
          <w:numId w:val="22"/>
        </w:numPr>
        <w:spacing w:before="120" w:after="120" w:line="0" w:lineRule="atLeast"/>
        <w:jc w:val="both"/>
        <w:rPr>
          <w:sz w:val="22"/>
          <w:szCs w:val="22"/>
          <w:lang w:val="bg-BG"/>
        </w:rPr>
      </w:pPr>
      <w:r>
        <w:rPr>
          <w:sz w:val="22"/>
          <w:szCs w:val="22"/>
          <w:lang w:val="bg-BG"/>
        </w:rPr>
        <w:t>Д</w:t>
      </w:r>
      <w:r w:rsidR="00310E56" w:rsidRPr="00310E56">
        <w:rPr>
          <w:sz w:val="22"/>
          <w:szCs w:val="22"/>
        </w:rPr>
        <w:t>оставка на хранителни продукти, отговарящи на БДС или еквивалент</w:t>
      </w:r>
      <w:r w:rsidR="00310E56">
        <w:t>.</w:t>
      </w:r>
    </w:p>
    <w:p w14:paraId="52CBD510" w14:textId="20BFD7DF" w:rsidR="00B46FE0" w:rsidRPr="00B46FE0" w:rsidRDefault="00B46FE0" w:rsidP="00B656A9">
      <w:pPr>
        <w:numPr>
          <w:ilvl w:val="2"/>
          <w:numId w:val="22"/>
        </w:numPr>
        <w:spacing w:before="120" w:after="120" w:line="0" w:lineRule="atLeast"/>
        <w:jc w:val="both"/>
        <w:rPr>
          <w:sz w:val="22"/>
          <w:szCs w:val="22"/>
          <w:lang w:val="bg-BG"/>
        </w:rPr>
      </w:pPr>
      <w:r w:rsidRPr="00B46FE0">
        <w:rPr>
          <w:sz w:val="22"/>
          <w:szCs w:val="22"/>
          <w:lang w:val="bg-BG"/>
        </w:rPr>
        <w:t>Настоящата поръчка е свързана с периодична доставка на хранителни продукти по 6 обособени позиции, които обхващат следното: Обособена позиция №1 „Месо и месни продукти“, Обособена позиция №2“Мляко и млечни продукти“, Обособена позиция №3 „Масла и мазнини“, Обособена позиция №4 „Яйца“, Обособена позиция №5 „Картофи, кореноплодни и варива“, Обособена позиция №6 „Други“</w:t>
      </w:r>
      <w:r w:rsidR="00E11C84">
        <w:rPr>
          <w:sz w:val="22"/>
          <w:szCs w:val="22"/>
          <w:lang w:val="bg-BG"/>
        </w:rPr>
        <w:t>, Обособена позиция №7 „Захар и сладкарски захарни изделия“</w:t>
      </w:r>
      <w:r w:rsidR="0032311A">
        <w:rPr>
          <w:sz w:val="22"/>
          <w:szCs w:val="22"/>
          <w:lang w:val="bg-BG"/>
        </w:rPr>
        <w:t>, Обособена позиция №8 „Ядки“</w:t>
      </w:r>
      <w:r w:rsidRPr="00B46FE0">
        <w:rPr>
          <w:sz w:val="22"/>
          <w:szCs w:val="22"/>
          <w:lang w:val="bg-BG"/>
        </w:rPr>
        <w:t>.</w:t>
      </w:r>
    </w:p>
    <w:p w14:paraId="58A5F56A" w14:textId="3CFE9E07" w:rsidR="00F77DF6" w:rsidRPr="00FC1516" w:rsidRDefault="00B46FE0" w:rsidP="00B656A9">
      <w:pPr>
        <w:numPr>
          <w:ilvl w:val="2"/>
          <w:numId w:val="22"/>
        </w:numPr>
        <w:spacing w:before="120" w:after="120" w:line="0" w:lineRule="atLeast"/>
        <w:jc w:val="both"/>
        <w:rPr>
          <w:sz w:val="22"/>
          <w:szCs w:val="22"/>
          <w:lang w:val="bg-BG"/>
        </w:rPr>
      </w:pPr>
      <w:r w:rsidRPr="00B46FE0">
        <w:rPr>
          <w:sz w:val="22"/>
          <w:szCs w:val="22"/>
          <w:lang w:val="bg-BG"/>
        </w:rPr>
        <w:t>Количествата за съответната доставка на хранителни продукти се определят в писмена заявка от Възложителя и/или упълномощено от него лице.</w:t>
      </w:r>
    </w:p>
    <w:p w14:paraId="6CF0BAE0" w14:textId="654E2C37" w:rsidR="00BE11EB" w:rsidRPr="00FC1516" w:rsidRDefault="00DC0247" w:rsidP="00C1018B">
      <w:pPr>
        <w:pStyle w:val="10"/>
      </w:pPr>
      <w:r w:rsidRPr="00FC1516">
        <w:t xml:space="preserve">ИЗИСКВАНИЯ И </w:t>
      </w:r>
      <w:r w:rsidR="00BE11EB" w:rsidRPr="00FC1516">
        <w:t>ЗАДЪЛЖЕНИЯ НА ИЗПЪЛНИТЕЛЯ</w:t>
      </w:r>
    </w:p>
    <w:p w14:paraId="1F71478B" w14:textId="32F26FEF" w:rsidR="00BE11EB" w:rsidRPr="00FC1516" w:rsidRDefault="00BE11EB" w:rsidP="00B656A9">
      <w:pPr>
        <w:pStyle w:val="20"/>
        <w:pageBreakBefore w:val="0"/>
        <w:numPr>
          <w:ilvl w:val="1"/>
          <w:numId w:val="22"/>
        </w:numPr>
        <w:spacing w:line="0" w:lineRule="atLeast"/>
        <w:rPr>
          <w:szCs w:val="22"/>
          <w:lang w:eastAsia="en-US"/>
        </w:rPr>
      </w:pPr>
      <w:r w:rsidRPr="00FC1516">
        <w:rPr>
          <w:szCs w:val="22"/>
          <w:lang w:eastAsia="en-US"/>
        </w:rPr>
        <w:t>ИЗИСКВАНИЯ КЪМ ИЗПЪЛНИТЕЛЯ</w:t>
      </w:r>
    </w:p>
    <w:p w14:paraId="58166CA7" w14:textId="68ACF2C6"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 xml:space="preserve">При транспортиране на хранителните продукти се спазват изискванията на Приложение 2, Глава ІV на Регламент (ЕО) № 852/2004г. на Европейския парламент и на Съвета от </w:t>
      </w:r>
      <w:r w:rsidRPr="004A4124">
        <w:rPr>
          <w:sz w:val="22"/>
          <w:szCs w:val="22"/>
          <w:lang w:val="bg-BG" w:eastAsia="en-US"/>
        </w:rPr>
        <w:lastRenderedPageBreak/>
        <w:t xml:space="preserve">29.04.2004г. относно хигиената на храните (OBL 139, 30.04.2004г.) и Глава 3, Глава трета, Раздел ІV на Наредба № </w:t>
      </w:r>
      <w:r w:rsidR="00FB5A15">
        <w:rPr>
          <w:sz w:val="22"/>
          <w:szCs w:val="22"/>
          <w:lang w:val="bg-BG" w:eastAsia="en-US"/>
        </w:rPr>
        <w:t>1</w:t>
      </w:r>
      <w:r w:rsidRPr="004A4124">
        <w:rPr>
          <w:sz w:val="22"/>
          <w:szCs w:val="22"/>
          <w:lang w:val="bg-BG" w:eastAsia="en-US"/>
        </w:rPr>
        <w:t xml:space="preserve"> от </w:t>
      </w:r>
      <w:r w:rsidR="00FB5A15">
        <w:rPr>
          <w:sz w:val="22"/>
          <w:szCs w:val="22"/>
          <w:lang w:val="bg-BG" w:eastAsia="en-US"/>
        </w:rPr>
        <w:t>26</w:t>
      </w:r>
      <w:r w:rsidRPr="004A4124">
        <w:rPr>
          <w:sz w:val="22"/>
          <w:szCs w:val="22"/>
          <w:lang w:val="bg-BG" w:eastAsia="en-US"/>
        </w:rPr>
        <w:t>.</w:t>
      </w:r>
      <w:r w:rsidR="00FB5A15">
        <w:rPr>
          <w:sz w:val="22"/>
          <w:szCs w:val="22"/>
          <w:lang w:val="bg-BG" w:eastAsia="en-US"/>
        </w:rPr>
        <w:t>01</w:t>
      </w:r>
      <w:r w:rsidRPr="004A4124">
        <w:rPr>
          <w:sz w:val="22"/>
          <w:szCs w:val="22"/>
          <w:lang w:val="bg-BG" w:eastAsia="en-US"/>
        </w:rPr>
        <w:t>.20</w:t>
      </w:r>
      <w:r w:rsidR="00FB5A15">
        <w:rPr>
          <w:sz w:val="22"/>
          <w:szCs w:val="22"/>
          <w:lang w:val="bg-BG" w:eastAsia="en-US"/>
        </w:rPr>
        <w:t>16</w:t>
      </w:r>
      <w:r w:rsidRPr="004A4124">
        <w:rPr>
          <w:sz w:val="22"/>
          <w:szCs w:val="22"/>
          <w:lang w:val="bg-BG" w:eastAsia="en-US"/>
        </w:rPr>
        <w:t>г. за хигиената на храните (обн. ДВ, бр.</w:t>
      </w:r>
      <w:r w:rsidR="00FB5A15">
        <w:rPr>
          <w:sz w:val="22"/>
          <w:szCs w:val="22"/>
          <w:lang w:val="bg-BG" w:eastAsia="en-US"/>
        </w:rPr>
        <w:t>1</w:t>
      </w:r>
      <w:r w:rsidR="00223475">
        <w:rPr>
          <w:sz w:val="22"/>
          <w:szCs w:val="22"/>
          <w:lang w:val="bg-BG" w:eastAsia="en-US"/>
        </w:rPr>
        <w:t>0</w:t>
      </w:r>
      <w:r w:rsidRPr="004A4124">
        <w:rPr>
          <w:sz w:val="22"/>
          <w:szCs w:val="22"/>
          <w:lang w:val="bg-BG" w:eastAsia="en-US"/>
        </w:rPr>
        <w:t xml:space="preserve"> от</w:t>
      </w:r>
      <w:r w:rsidR="00FB5A15">
        <w:rPr>
          <w:sz w:val="22"/>
          <w:szCs w:val="22"/>
          <w:lang w:val="bg-BG" w:eastAsia="en-US"/>
        </w:rPr>
        <w:t xml:space="preserve"> 05.02.</w:t>
      </w:r>
      <w:r w:rsidRPr="004A4124">
        <w:rPr>
          <w:sz w:val="22"/>
          <w:szCs w:val="22"/>
          <w:lang w:val="bg-BG" w:eastAsia="en-US"/>
        </w:rPr>
        <w:t>20</w:t>
      </w:r>
      <w:r w:rsidR="00946DEF">
        <w:rPr>
          <w:sz w:val="22"/>
          <w:szCs w:val="22"/>
          <w:lang w:val="bg-BG" w:eastAsia="en-US"/>
        </w:rPr>
        <w:t>1</w:t>
      </w:r>
      <w:r w:rsidRPr="004A4124">
        <w:rPr>
          <w:sz w:val="22"/>
          <w:szCs w:val="22"/>
          <w:lang w:val="bg-BG" w:eastAsia="en-US"/>
        </w:rPr>
        <w:t xml:space="preserve">6г.) </w:t>
      </w:r>
    </w:p>
    <w:p w14:paraId="6F53190F"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Пакетираните хранителни продукти, трябва да са етикетирани и маркирани съгласно Наредбата за изискванията за етикетирането и представянето на храните, приета с ПМС № 136 /19 юли 2000 г.</w:t>
      </w:r>
    </w:p>
    <w:p w14:paraId="61F53ED8"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Изисквания към обекта за доставка  на хранителни продукти:</w:t>
      </w:r>
    </w:p>
    <w:p w14:paraId="1878E1FA"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Да има регистрация по реда на Закона за храните;</w:t>
      </w:r>
    </w:p>
    <w:p w14:paraId="7081F0CF"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Да отговаря на хигиенни и ветеринарно-санитарни изисквания определени с нормативен акт;</w:t>
      </w:r>
    </w:p>
    <w:p w14:paraId="44002FDB"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Да има технологична документация за хранителните продукти, които ще се доставят;</w:t>
      </w:r>
    </w:p>
    <w:p w14:paraId="5638CBBC"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Хранителни продукти трябва да се доставят от обекти, регистрирани по чл.12 от Закона за храните;</w:t>
      </w:r>
    </w:p>
    <w:p w14:paraId="5BECC9B5"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Хранителните продукти да отговарят на БДС или еквивалент, да са първо качество, придружени с ветеринарномедицинско свидетелство и експертен лист за продуктите от животински произход, както и да бъдат придружени със Сертификат за съответствие на качеството на доставените хранителни продукти, съгласно  Регламент (ЕО) № 1580/2007г..</w:t>
      </w:r>
    </w:p>
    <w:p w14:paraId="2602F980"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Периодичната доставка на хранителни продукти да отговаря на следните изисквания:</w:t>
      </w:r>
    </w:p>
    <w:p w14:paraId="5B2A67AF"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 xml:space="preserve">Хранителни продукти да са висококачествени, пълноценни и безопасни като отговарят на всички изисквания на националното и европейско законодателство в тази насока; </w:t>
      </w:r>
    </w:p>
    <w:p w14:paraId="04D889A8"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Хранителни продукти да отговарят на изискванията, посочени в Закона за храните, и да бъдат придружени със Сертификат за съответствие на качеството на доставените хранителни продукти , съгласно. Регламент (ЕО) № 1580/2007г. ;</w:t>
      </w:r>
    </w:p>
    <w:p w14:paraId="0225A6C9"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Доставените хранителни продукти да отговарят на санитарните, ветеринарно-санитарните, хигиенните и други норми, установени от действащото в РБ законодателство и/или издадени от специализираните държавни контролни органи.; Горепосочените обстоятелства се доказват при изпълнение на поръчката с документи, издадени от компетентните държавни органи.;</w:t>
      </w:r>
    </w:p>
    <w:p w14:paraId="797C1BB2"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 xml:space="preserve"> Хранителните продукти задължително да се придружават с документи, доказващи тяхната безопасност, съгласно действащото законодателство.</w:t>
      </w:r>
    </w:p>
    <w:p w14:paraId="293F8217"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Всяка доставка да бъде придружена с документ/сертификат или друг легитимен документ/ за произход, качество и/или маркировка на доставените продукти, издаден от съответните контролни органи.</w:t>
      </w:r>
    </w:p>
    <w:p w14:paraId="046E71AB"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Хранителните продукти следва да се доставят от обекти, регистрирани  по чл.12 от Закона за храните за съответната група хранителни продукти;</w:t>
      </w:r>
    </w:p>
    <w:p w14:paraId="1C0B6146"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 xml:space="preserve">Доставката на хранителните продукти да се извършва в опаковка, която  трябва да предпазва продуктите от външно замърсяване и да не променя органолептичните му характеристики. Пакетираните хранителни продукти, трябва да са етикетирани и маркирани съгласно Наредбата за изискванията за етикетирането и представянето на храните, приета с ПМС № 136 /19 юли 2000 г. </w:t>
      </w:r>
    </w:p>
    <w:p w14:paraId="7B9F7E16" w14:textId="43E576E4"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 xml:space="preserve">При транспортирането на хранителните продукти да се спазват изискванията на Приложение 2, Глава ІV на Регламент (ЕО) № 852/2004г. на Европейския парламент и на Съвета от 29.04.2004г. относно хигиената на храните (OBL 139, 30.04.2004г.) и Глава 3, Глава трета, Раздел ІV на Наредба № </w:t>
      </w:r>
      <w:r w:rsidR="00334DD6">
        <w:rPr>
          <w:sz w:val="22"/>
          <w:szCs w:val="22"/>
          <w:lang w:val="bg-BG" w:eastAsia="en-US"/>
        </w:rPr>
        <w:t>1</w:t>
      </w:r>
      <w:r w:rsidRPr="004A4124">
        <w:rPr>
          <w:sz w:val="22"/>
          <w:szCs w:val="22"/>
          <w:lang w:val="bg-BG" w:eastAsia="en-US"/>
        </w:rPr>
        <w:t xml:space="preserve"> от 2</w:t>
      </w:r>
      <w:r w:rsidR="00334DD6">
        <w:rPr>
          <w:sz w:val="22"/>
          <w:szCs w:val="22"/>
          <w:lang w:val="bg-BG" w:eastAsia="en-US"/>
        </w:rPr>
        <w:t>6</w:t>
      </w:r>
      <w:r w:rsidRPr="004A4124">
        <w:rPr>
          <w:sz w:val="22"/>
          <w:szCs w:val="22"/>
          <w:lang w:val="bg-BG" w:eastAsia="en-US"/>
        </w:rPr>
        <w:t>.0</w:t>
      </w:r>
      <w:r w:rsidR="00334DD6">
        <w:rPr>
          <w:sz w:val="22"/>
          <w:szCs w:val="22"/>
          <w:lang w:val="bg-BG" w:eastAsia="en-US"/>
        </w:rPr>
        <w:t>1</w:t>
      </w:r>
      <w:r w:rsidRPr="004A4124">
        <w:rPr>
          <w:sz w:val="22"/>
          <w:szCs w:val="22"/>
          <w:lang w:val="bg-BG" w:eastAsia="en-US"/>
        </w:rPr>
        <w:t>.20</w:t>
      </w:r>
      <w:r w:rsidR="00334DD6">
        <w:rPr>
          <w:sz w:val="22"/>
          <w:szCs w:val="22"/>
          <w:lang w:val="bg-BG" w:eastAsia="en-US"/>
        </w:rPr>
        <w:t>1</w:t>
      </w:r>
      <w:r w:rsidRPr="004A4124">
        <w:rPr>
          <w:sz w:val="22"/>
          <w:szCs w:val="22"/>
          <w:lang w:val="bg-BG" w:eastAsia="en-US"/>
        </w:rPr>
        <w:t>6г. за хи</w:t>
      </w:r>
      <w:r w:rsidR="00334DD6">
        <w:rPr>
          <w:sz w:val="22"/>
          <w:szCs w:val="22"/>
          <w:lang w:val="bg-BG" w:eastAsia="en-US"/>
        </w:rPr>
        <w:t>гиената на храните (обн. ДВ, бр.10</w:t>
      </w:r>
      <w:r w:rsidRPr="004A4124">
        <w:rPr>
          <w:sz w:val="22"/>
          <w:szCs w:val="22"/>
          <w:lang w:val="bg-BG" w:eastAsia="en-US"/>
        </w:rPr>
        <w:t xml:space="preserve"> от 20</w:t>
      </w:r>
      <w:r w:rsidR="00334DD6">
        <w:rPr>
          <w:sz w:val="22"/>
          <w:szCs w:val="22"/>
          <w:lang w:val="bg-BG" w:eastAsia="en-US"/>
        </w:rPr>
        <w:t>1</w:t>
      </w:r>
      <w:r w:rsidRPr="004A4124">
        <w:rPr>
          <w:sz w:val="22"/>
          <w:szCs w:val="22"/>
          <w:lang w:val="bg-BG" w:eastAsia="en-US"/>
        </w:rPr>
        <w:t xml:space="preserve">6г.) </w:t>
      </w:r>
    </w:p>
    <w:p w14:paraId="30B51305"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 xml:space="preserve">Доставката на хранителните продукти, ще се осъществява периодично, в работни дни чрез конкретни заявени видове и количества продукти, които ще се определят от Възложителя или негов представител и ще се заявяват по писмено, факс, e-mail. </w:t>
      </w:r>
    </w:p>
    <w:p w14:paraId="2DA77891"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lastRenderedPageBreak/>
        <w:t>Доставките да се извършват от участника определен за изпълнител със специализирани транспортни средства и за собствена сметка, съгласно предложеният от Изпълнителя срок на доставка, след подаване на заявката;</w:t>
      </w:r>
    </w:p>
    <w:p w14:paraId="0CC90CAC"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В деня на доставката хранителните продукти трябва да имат остатъчен срок на годност минимум 80% от целия им срок на годност посочен от производителя, и да са придружен с документ/сертификат или друг легитимен документ за произход, качество и/или маркировка на доставяните продукти, издадени от съответните контролни органи</w:t>
      </w:r>
    </w:p>
    <w:p w14:paraId="17F7EC97" w14:textId="77777777" w:rsidR="004A4124" w:rsidRPr="004A4124" w:rsidRDefault="004A4124" w:rsidP="00B656A9">
      <w:pPr>
        <w:numPr>
          <w:ilvl w:val="3"/>
          <w:numId w:val="22"/>
        </w:numPr>
        <w:spacing w:before="120" w:after="120" w:line="0" w:lineRule="atLeast"/>
        <w:jc w:val="both"/>
        <w:rPr>
          <w:sz w:val="22"/>
          <w:szCs w:val="22"/>
          <w:lang w:val="bg-BG" w:eastAsia="en-US"/>
        </w:rPr>
      </w:pPr>
      <w:r w:rsidRPr="004A4124">
        <w:rPr>
          <w:sz w:val="22"/>
          <w:szCs w:val="22"/>
          <w:lang w:val="bg-BG" w:eastAsia="en-US"/>
        </w:rPr>
        <w:t>Качество на доставяните хранителни продукти:</w:t>
      </w:r>
    </w:p>
    <w:p w14:paraId="1D3C28FC"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За доставката на хранителни продукти следва да се използват качествени продукти с доказан произход, да отговорят на нормативно установените изисквания за качество и при употреба от крайни потребители, да отговарят на санитарните, ветеринарно-санитарните, хигиенните и други норми установени от действащото в България законодателство.</w:t>
      </w:r>
    </w:p>
    <w:p w14:paraId="27FD1401" w14:textId="498146E5"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Предлаганите продукти да не съдържат генетично модифицирани организми, съгласно</w:t>
      </w:r>
      <w:r w:rsidR="00334DD6">
        <w:rPr>
          <w:sz w:val="22"/>
          <w:szCs w:val="22"/>
          <w:lang w:val="bg-BG" w:eastAsia="en-US"/>
        </w:rPr>
        <w:t xml:space="preserve"> чл. 4а, ал. 4 </w:t>
      </w:r>
      <w:r w:rsidRPr="004A4124">
        <w:rPr>
          <w:sz w:val="22"/>
          <w:szCs w:val="22"/>
          <w:lang w:val="bg-BG" w:eastAsia="en-US"/>
        </w:rPr>
        <w:t>от Закона за храните.</w:t>
      </w:r>
    </w:p>
    <w:p w14:paraId="32F536A4"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Хранителните продукти да отговарят на критериите за качество по БДС или еквивалент;</w:t>
      </w:r>
    </w:p>
    <w:p w14:paraId="2A3A2C86" w14:textId="77777777" w:rsidR="003B2FEC" w:rsidRPr="003B2FEC" w:rsidRDefault="003B2FEC" w:rsidP="003B2FEC">
      <w:pPr>
        <w:pStyle w:val="afff2"/>
        <w:numPr>
          <w:ilvl w:val="4"/>
          <w:numId w:val="22"/>
        </w:numPr>
        <w:rPr>
          <w:sz w:val="22"/>
          <w:szCs w:val="22"/>
          <w:lang w:val="bg-BG" w:eastAsia="en-US"/>
        </w:rPr>
      </w:pPr>
      <w:r w:rsidRPr="003B2FEC">
        <w:rPr>
          <w:sz w:val="22"/>
          <w:szCs w:val="22"/>
          <w:lang w:val="bg-BG" w:eastAsia="en-US"/>
        </w:rPr>
        <w:t>Спазване разпоредбите на НАРЕДБА № 108 от 12.09.2006 г. за изискванията за качество и контрола за съответствие на пресни плодове и зеленчуци</w:t>
      </w:r>
    </w:p>
    <w:p w14:paraId="043E07F9" w14:textId="16DDF945"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Да се доставят продукти, които отговарят на изискванията за качество и безопасност съгласно Закона за храните и подзаконовите нормативни актове по неговото прилагане. Храните се придружават с документи, доказващи тяхната безопасност съгласно действащото законодателство.</w:t>
      </w:r>
    </w:p>
    <w:p w14:paraId="5AC49F7E"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Участникът определен за изпълнител гарантира доставката на хранителните продукти да се извършва съобразно предложеният от него Срок за доставка на хранителни продукти,  със специализирани  транспортни средства и за собствена сметка, периодично, в работни дни, след подаване на заявката.</w:t>
      </w:r>
    </w:p>
    <w:p w14:paraId="44277BEA" w14:textId="77777777" w:rsidR="004A4124" w:rsidRPr="004A4124" w:rsidRDefault="004A4124" w:rsidP="00B656A9">
      <w:pPr>
        <w:numPr>
          <w:ilvl w:val="4"/>
          <w:numId w:val="22"/>
        </w:numPr>
        <w:spacing w:before="120" w:after="120" w:line="0" w:lineRule="atLeast"/>
        <w:jc w:val="both"/>
        <w:rPr>
          <w:sz w:val="22"/>
          <w:szCs w:val="22"/>
          <w:lang w:val="bg-BG" w:eastAsia="en-US"/>
        </w:rPr>
      </w:pPr>
      <w:r w:rsidRPr="004A4124">
        <w:rPr>
          <w:sz w:val="22"/>
          <w:szCs w:val="22"/>
          <w:lang w:val="bg-BG" w:eastAsia="en-US"/>
        </w:rPr>
        <w:t xml:space="preserve">Участникът определен за изпълнител гарантира пълна подмяна на хранителните продукти с отклонение във вида, качеството и количеството и извършва доставката на хранителни продукти във вида и количество, съответстващо на заявеното, както и пълна подмяна на продуктите с негодно качество, съобразно предложеният от него Срок за подмяна в случай на рекламация, считано от момента на констатиране на отклонението в деня и часа на доставката, удостоверено с подписване на Констативен протокол от представители на страните по договора. </w:t>
      </w:r>
    </w:p>
    <w:p w14:paraId="2412AAFE" w14:textId="2BBE8CB7" w:rsidR="00DC0247" w:rsidRPr="00FC1516" w:rsidRDefault="00DC0247" w:rsidP="00B656A9">
      <w:pPr>
        <w:numPr>
          <w:ilvl w:val="2"/>
          <w:numId w:val="22"/>
        </w:numPr>
        <w:spacing w:before="120" w:after="120" w:line="0" w:lineRule="atLeast"/>
        <w:jc w:val="both"/>
        <w:rPr>
          <w:sz w:val="22"/>
          <w:szCs w:val="22"/>
          <w:lang w:val="bg-BG" w:eastAsia="en-US"/>
        </w:rPr>
      </w:pPr>
      <w:r w:rsidRPr="00FC1516">
        <w:rPr>
          <w:sz w:val="22"/>
          <w:szCs w:val="22"/>
          <w:lang w:val="bg-BG" w:eastAsia="en-US"/>
        </w:rPr>
        <w:t>Изпълнение на настоящата обществена поръчка следва да съблюдава и спазва изискванията на:</w:t>
      </w:r>
    </w:p>
    <w:p w14:paraId="7B369089" w14:textId="044D24D9" w:rsidR="00DC0247" w:rsidRPr="00FC1516" w:rsidRDefault="00DC0247" w:rsidP="00B656A9">
      <w:pPr>
        <w:numPr>
          <w:ilvl w:val="3"/>
          <w:numId w:val="22"/>
        </w:numPr>
        <w:spacing w:before="120" w:after="120" w:line="0" w:lineRule="atLeast"/>
        <w:jc w:val="both"/>
        <w:rPr>
          <w:sz w:val="22"/>
          <w:szCs w:val="22"/>
          <w:lang w:val="bg-BG" w:eastAsia="en-US"/>
        </w:rPr>
      </w:pPr>
      <w:r w:rsidRPr="00FC1516">
        <w:rPr>
          <w:sz w:val="22"/>
          <w:szCs w:val="22"/>
          <w:lang w:val="bg-BG" w:eastAsia="en-US"/>
        </w:rPr>
        <w:t>Действащото законодателство в Р. България;</w:t>
      </w:r>
    </w:p>
    <w:p w14:paraId="7753D5CC" w14:textId="77777777" w:rsidR="00DC0247" w:rsidRPr="00FC1516" w:rsidRDefault="00DC0247" w:rsidP="00B656A9">
      <w:pPr>
        <w:numPr>
          <w:ilvl w:val="3"/>
          <w:numId w:val="22"/>
        </w:numPr>
        <w:spacing w:before="120" w:after="120" w:line="0" w:lineRule="atLeast"/>
        <w:jc w:val="both"/>
        <w:rPr>
          <w:sz w:val="22"/>
          <w:szCs w:val="22"/>
          <w:lang w:val="bg-BG" w:eastAsia="en-US"/>
        </w:rPr>
      </w:pPr>
      <w:r w:rsidRPr="00FC1516">
        <w:rPr>
          <w:sz w:val="22"/>
          <w:szCs w:val="22"/>
          <w:lang w:val="bg-BG" w:eastAsia="en-US"/>
        </w:rPr>
        <w:t>Европейските и международните стандарти;</w:t>
      </w:r>
    </w:p>
    <w:p w14:paraId="12419109" w14:textId="6CDC4298" w:rsidR="00DC0247" w:rsidRPr="00FC1516" w:rsidRDefault="00DC0247" w:rsidP="00B656A9">
      <w:pPr>
        <w:numPr>
          <w:ilvl w:val="3"/>
          <w:numId w:val="22"/>
        </w:numPr>
        <w:spacing w:before="120" w:after="120" w:line="0" w:lineRule="atLeast"/>
        <w:jc w:val="both"/>
        <w:rPr>
          <w:sz w:val="22"/>
          <w:szCs w:val="22"/>
          <w:lang w:val="bg-BG" w:eastAsia="en-US"/>
        </w:rPr>
      </w:pPr>
      <w:r w:rsidRPr="00FC1516">
        <w:rPr>
          <w:sz w:val="22"/>
          <w:szCs w:val="22"/>
          <w:lang w:val="bg-BG" w:eastAsia="en-US"/>
        </w:rPr>
        <w:t>Настоящите технически спецификации</w:t>
      </w:r>
    </w:p>
    <w:p w14:paraId="3C7DE755" w14:textId="3F741985" w:rsidR="00BE11EB" w:rsidRPr="00FC1516" w:rsidRDefault="00DC0247" w:rsidP="00B656A9">
      <w:pPr>
        <w:numPr>
          <w:ilvl w:val="2"/>
          <w:numId w:val="22"/>
        </w:numPr>
        <w:spacing w:before="120" w:after="120" w:line="0" w:lineRule="atLeast"/>
        <w:jc w:val="both"/>
        <w:rPr>
          <w:sz w:val="22"/>
          <w:szCs w:val="22"/>
          <w:lang w:val="bg-BG"/>
        </w:rPr>
      </w:pPr>
      <w:r w:rsidRPr="00FC1516">
        <w:rPr>
          <w:sz w:val="22"/>
          <w:szCs w:val="22"/>
          <w:lang w:val="bg-BG"/>
        </w:rPr>
        <w:t>Изисквания за запознаване и спазване законодателството и съответствие стандарти и кодове</w:t>
      </w:r>
    </w:p>
    <w:p w14:paraId="218981F1" w14:textId="36484217" w:rsidR="00014EC3" w:rsidRPr="00C1018B" w:rsidRDefault="00DC0247" w:rsidP="00C1018B">
      <w:pPr>
        <w:numPr>
          <w:ilvl w:val="3"/>
          <w:numId w:val="22"/>
        </w:numPr>
        <w:spacing w:before="120" w:after="120" w:line="0" w:lineRule="atLeast"/>
        <w:jc w:val="both"/>
        <w:rPr>
          <w:lang w:val="bg-BG" w:eastAsia="en-US"/>
        </w:rPr>
      </w:pPr>
      <w:r w:rsidRPr="00FC1516">
        <w:rPr>
          <w:sz w:val="22"/>
          <w:szCs w:val="22"/>
          <w:lang w:val="bg-BG"/>
        </w:rPr>
        <w:t>При изпълнение на задълженията си по настоящата обществена поръчка Изпълнителят следва да се запознае и съблюдава спазването на изискванията на действащото законодателство в Р. България</w:t>
      </w:r>
    </w:p>
    <w:p w14:paraId="7DC0D06D" w14:textId="77777777" w:rsidR="004C2781" w:rsidRDefault="004C2781" w:rsidP="004C2781">
      <w:pPr>
        <w:pStyle w:val="10"/>
        <w:numPr>
          <w:ilvl w:val="0"/>
          <w:numId w:val="32"/>
        </w:numPr>
        <w:spacing w:line="0" w:lineRule="atLeast"/>
        <w:rPr>
          <w:rFonts w:cs="Times New Roman"/>
          <w:noProof/>
        </w:rPr>
      </w:pPr>
      <w:r>
        <w:rPr>
          <w:rFonts w:cs="Times New Roman"/>
          <w:noProof/>
        </w:rPr>
        <w:t>ИЗИСКВАНИЯ, КЪМ СЪДЪРЖАНИЕТО НА ТЕХНИЧЕСКОТО ПРЕДЛОЖЕНИЕ ЗА ИЗПЪЛНЕНИЕ НА ПОРЪЧКАТА</w:t>
      </w:r>
    </w:p>
    <w:p w14:paraId="6F2198A7" w14:textId="45B9F09C" w:rsidR="006E3982" w:rsidRPr="00B12BFE" w:rsidRDefault="006E3982" w:rsidP="006E3982">
      <w:pPr>
        <w:numPr>
          <w:ilvl w:val="1"/>
          <w:numId w:val="22"/>
        </w:numPr>
        <w:spacing w:before="120" w:after="120" w:line="0" w:lineRule="atLeast"/>
        <w:jc w:val="both"/>
        <w:rPr>
          <w:noProof/>
          <w:sz w:val="22"/>
          <w:szCs w:val="22"/>
        </w:rPr>
      </w:pPr>
      <w:bookmarkStart w:id="9" w:name="_GoBack"/>
      <w:bookmarkEnd w:id="9"/>
      <w:r w:rsidRPr="00B12BFE">
        <w:rPr>
          <w:noProof/>
          <w:sz w:val="22"/>
          <w:szCs w:val="22"/>
        </w:rPr>
        <w:t>ОБРАЗ</w:t>
      </w:r>
      <w:r>
        <w:rPr>
          <w:noProof/>
          <w:sz w:val="22"/>
          <w:szCs w:val="22"/>
          <w:lang w:val="bg-BG"/>
        </w:rPr>
        <w:t>ЦИТЕ</w:t>
      </w:r>
      <w:r w:rsidRPr="00B12BFE">
        <w:rPr>
          <w:noProof/>
          <w:sz w:val="22"/>
          <w:szCs w:val="22"/>
        </w:rPr>
        <w:t xml:space="preserve"> – ТЕХНИЧЕСКО ПРЕДЛОЖЕНИЕ ЗА ИЗПЪЛНЕНИЕ НА ПОРЪЧКАТА</w:t>
      </w:r>
      <w:r>
        <w:rPr>
          <w:noProof/>
          <w:sz w:val="22"/>
          <w:szCs w:val="22"/>
          <w:lang w:val="bg-BG"/>
        </w:rPr>
        <w:t xml:space="preserve"> следва да бъдат разработени в съответствие с конкретните указания към всяка една точка </w:t>
      </w:r>
      <w:r w:rsidR="00E40522">
        <w:rPr>
          <w:noProof/>
          <w:sz w:val="22"/>
          <w:szCs w:val="22"/>
          <w:lang w:val="bg-BG"/>
        </w:rPr>
        <w:t xml:space="preserve">от тях </w:t>
      </w:r>
      <w:r>
        <w:rPr>
          <w:noProof/>
          <w:sz w:val="22"/>
          <w:szCs w:val="22"/>
          <w:lang w:val="bg-BG"/>
        </w:rPr>
        <w:t>и съответно да съдържа</w:t>
      </w:r>
      <w:r w:rsidR="00E40522">
        <w:rPr>
          <w:noProof/>
          <w:sz w:val="22"/>
          <w:szCs w:val="22"/>
          <w:lang w:val="bg-BG"/>
        </w:rPr>
        <w:t>т</w:t>
      </w:r>
      <w:r>
        <w:rPr>
          <w:noProof/>
          <w:sz w:val="22"/>
          <w:szCs w:val="22"/>
          <w:lang w:val="bg-BG"/>
        </w:rPr>
        <w:t xml:space="preserve"> съответните изисквани елементи. Следва да се разбира и възприемаи, че указанията за разработване на техническ</w:t>
      </w:r>
      <w:r w:rsidR="00E40522">
        <w:rPr>
          <w:noProof/>
          <w:sz w:val="22"/>
          <w:szCs w:val="22"/>
          <w:lang w:val="bg-BG"/>
        </w:rPr>
        <w:t>ите</w:t>
      </w:r>
      <w:r>
        <w:rPr>
          <w:noProof/>
          <w:sz w:val="22"/>
          <w:szCs w:val="22"/>
          <w:lang w:val="bg-BG"/>
        </w:rPr>
        <w:t xml:space="preserve"> предложени</w:t>
      </w:r>
      <w:r w:rsidR="00E40522">
        <w:rPr>
          <w:noProof/>
          <w:sz w:val="22"/>
          <w:szCs w:val="22"/>
          <w:lang w:val="bg-BG"/>
        </w:rPr>
        <w:t>я</w:t>
      </w:r>
      <w:r>
        <w:rPr>
          <w:noProof/>
          <w:sz w:val="22"/>
          <w:szCs w:val="22"/>
          <w:lang w:val="bg-BG"/>
        </w:rPr>
        <w:t xml:space="preserve"> за изпълнение на поръчката са задължителни, като предварително обявени условия на поръчката от страна на Възложителя и тяхното неспазване води до отстраняване от обществената поръчка.</w:t>
      </w:r>
    </w:p>
    <w:sectPr w:rsidR="006E3982" w:rsidRPr="00B12BFE"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7EFBD" w14:textId="77777777" w:rsidR="001F034B" w:rsidRDefault="001F034B">
      <w:r>
        <w:separator/>
      </w:r>
    </w:p>
  </w:endnote>
  <w:endnote w:type="continuationSeparator" w:id="0">
    <w:p w14:paraId="4EE06D51" w14:textId="77777777" w:rsidR="001F034B" w:rsidRDefault="001F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utiger 45 Light">
    <w:altName w:val="Courier New"/>
    <w:panose1 w:val="00000000000000000000"/>
    <w:charset w:val="00"/>
    <w:family w:val="auto"/>
    <w:notTrueType/>
    <w:pitch w:val="variable"/>
    <w:sig w:usb0="00000003" w:usb1="00000000" w:usb2="00000000" w:usb3="00000000" w:csb0="00000001" w:csb1="00000000"/>
  </w:font>
  <w:font w:name="Helvetica 65 Medium">
    <w:altName w:val="Arial Narrow"/>
    <w:panose1 w:val="00000000000000000000"/>
    <w:charset w:val="00"/>
    <w:family w:val="swiss"/>
    <w:notTrueType/>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CC"/>
    <w:family w:val="roman"/>
    <w:notTrueType/>
    <w:pitch w:val="default"/>
    <w:sig w:usb0="00000203" w:usb1="00000000" w:usb2="00000000" w:usb3="00000000" w:csb0="00000005" w:csb1="00000000"/>
  </w:font>
  <w:font w:name="Futura Bk">
    <w:altName w:val="Century Gothic"/>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B5976" w14:textId="77777777" w:rsidR="001F034B" w:rsidRDefault="001F034B">
      <w:r>
        <w:separator/>
      </w:r>
    </w:p>
  </w:footnote>
  <w:footnote w:type="continuationSeparator" w:id="0">
    <w:p w14:paraId="1A8E801A" w14:textId="77777777" w:rsidR="001F034B" w:rsidRDefault="001F03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5" w15:restartNumberingAfterBreak="0">
    <w:nsid w:val="0F0012B5"/>
    <w:multiLevelType w:val="multilevel"/>
    <w:tmpl w:val="E98C2FBE"/>
    <w:lvl w:ilvl="0">
      <w:start w:val="1"/>
      <w:numFmt w:val="upperRoman"/>
      <w:lvlText w:val="РАЗДЕЛ %1: "/>
      <w:lvlJc w:val="left"/>
      <w:pPr>
        <w:tabs>
          <w:tab w:val="num" w:pos="2552"/>
        </w:tabs>
        <w:ind w:left="2552"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rPr>
    </w:lvl>
    <w:lvl w:ilvl="1">
      <w:start w:val="1"/>
      <w:numFmt w:val="decimal"/>
      <w:lvlText w:val="%1.%2)"/>
      <w:lvlJc w:val="left"/>
      <w:pPr>
        <w:tabs>
          <w:tab w:val="num" w:pos="1985"/>
        </w:tabs>
        <w:ind w:left="1985" w:hanging="709"/>
      </w:pPr>
      <w:rPr>
        <w:rFonts w:ascii="Times New Roman" w:hAnsi="Times New Roman" w:cs="Times New Roman" w:hint="default"/>
        <w:b/>
        <w:bCs/>
        <w:i w:val="0"/>
        <w:iCs w:val="0"/>
        <w:caps w:val="0"/>
        <w:small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2835"/>
        </w:tabs>
        <w:ind w:left="2835"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3261"/>
        </w:tabs>
        <w:ind w:left="3261"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mc:AlternateContent>
        <mc:Choice Requires="w14">
          <w:numFmt w:val="custom" w:format="а, й, к, ..."/>
        </mc:Choice>
        <mc:Fallback>
          <w:numFmt w:val="decimal"/>
        </mc:Fallback>
      </mc:AlternateContent>
      <w:lvlText w:val="%5)"/>
      <w:lvlJc w:val="left"/>
      <w:pPr>
        <w:tabs>
          <w:tab w:val="num" w:pos="3544"/>
        </w:tabs>
        <w:ind w:left="3544" w:hanging="283"/>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4111"/>
        </w:tabs>
        <w:ind w:left="4111"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lowerRoman"/>
      <w:lvlText w:val="(%7)"/>
      <w:lvlJc w:val="left"/>
      <w:pPr>
        <w:tabs>
          <w:tab w:val="num" w:pos="4395"/>
        </w:tabs>
        <w:ind w:left="4395"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7.%8)"/>
      <w:lvlJc w:val="left"/>
      <w:pPr>
        <w:tabs>
          <w:tab w:val="num" w:pos="4962"/>
        </w:tabs>
        <w:ind w:left="4962"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8">
      <w:start w:val="1"/>
      <w:numFmt w:val="bullet"/>
      <w:lvlText w:val=""/>
      <w:lvlJc w:val="left"/>
      <w:pPr>
        <w:tabs>
          <w:tab w:val="num" w:pos="5245"/>
        </w:tabs>
        <w:ind w:left="5245" w:hanging="283"/>
      </w:pPr>
      <w:rPr>
        <w:rFonts w:ascii="Symbol" w:hAnsi="Symbol" w:hint="default"/>
        <w:b/>
        <w:bCs/>
        <w:i w:val="0"/>
        <w:iCs w:val="0"/>
        <w:caps w:val="0"/>
        <w:strike w:val="0"/>
        <w:dstrike w:val="0"/>
        <w:vanish w:val="0"/>
        <w:color w:val="auto"/>
        <w:spacing w:val="0"/>
        <w:w w:val="100"/>
        <w:position w:val="0"/>
        <w:sz w:val="22"/>
        <w:szCs w:val="22"/>
        <w:vertAlign w:val="baseline"/>
      </w:rPr>
    </w:lvl>
  </w:abstractNum>
  <w:abstractNum w:abstractNumId="6"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7"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9"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10"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13" w15:restartNumberingAfterBreak="0">
    <w:nsid w:val="30697BA9"/>
    <w:multiLevelType w:val="multilevel"/>
    <w:tmpl w:val="CD9C54CE"/>
    <w:lvl w:ilvl="0">
      <w:start w:val="1"/>
      <w:numFmt w:val="upperRoman"/>
      <w:pStyle w:val="-1"/>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8"/>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1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1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1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20"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6BD50FC6"/>
    <w:multiLevelType w:val="multilevel"/>
    <w:tmpl w:val="83667AC8"/>
    <w:lvl w:ilvl="0">
      <w:start w:val="1"/>
      <w:numFmt w:val="upperRoman"/>
      <w:pStyle w:val="10"/>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vanish w:val="0"/>
        <w:color w:val="000000"/>
        <w:spacing w:val="0"/>
        <w:w w:val="100"/>
        <w:kern w:val="0"/>
        <w:position w:val="0"/>
        <w:sz w:val="22"/>
        <w:szCs w:val="22"/>
        <w:u w:val="none"/>
        <w:effect w:val="none"/>
        <w:vertAlign w:val="baseline"/>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4">
      <w:start w:val="1"/>
      <mc:AlternateContent>
        <mc:Choice Requires="w14">
          <w:numFmt w:val="custom" w:format="а, й, к, ..."/>
        </mc:Choice>
        <mc:Fallback>
          <w:numFmt w:val="decimal"/>
        </mc:Fallback>
      </mc:AlternateContent>
      <w:lvlText w:val="%5)"/>
      <w:lvlJc w:val="left"/>
      <w:pPr>
        <w:tabs>
          <w:tab w:val="num" w:pos="2268"/>
        </w:tabs>
        <w:ind w:left="2268" w:hanging="283"/>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5">
      <w:start w:val="1"/>
      <w:numFmt w:val="decimal"/>
      <w:lvlText w:val="%5.%6)"/>
      <w:lvlJc w:val="left"/>
      <w:pPr>
        <w:tabs>
          <w:tab w:val="num" w:pos="2835"/>
        </w:tabs>
        <w:ind w:left="2835"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rPr>
    </w:lvl>
    <w:lvl w:ilvl="6">
      <w:start w:val="1"/>
      <w:numFmt w:val="lowerRoman"/>
      <w:lvlText w:val="(%7)"/>
      <w:lvlJc w:val="left"/>
      <w:pPr>
        <w:tabs>
          <w:tab w:val="num" w:pos="3119"/>
        </w:tabs>
        <w:ind w:left="3119"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7">
      <w:start w:val="1"/>
      <w:numFmt w:val="decimal"/>
      <w:lvlText w:val="(%7.%8)"/>
      <w:lvlJc w:val="left"/>
      <w:pPr>
        <w:tabs>
          <w:tab w:val="num" w:pos="3686"/>
        </w:tabs>
        <w:ind w:left="3686" w:hanging="567"/>
      </w:pPr>
      <w:rPr>
        <w:rFonts w:ascii="Times New Roman" w:hAnsi="Times New Roman" w:hint="default"/>
        <w:b/>
        <w:bCs/>
        <w:i w:val="0"/>
        <w:iCs w:val="0"/>
        <w:caps w:val="0"/>
        <w:strike w:val="0"/>
        <w:dstrike w:val="0"/>
        <w:vanish w:val="0"/>
        <w:color w:val="000000"/>
        <w:spacing w:val="0"/>
        <w:w w:val="100"/>
        <w:position w:val="0"/>
        <w:sz w:val="22"/>
        <w:szCs w:val="22"/>
        <w:vertAlign w:val="baseline"/>
      </w:rPr>
    </w:lvl>
    <w:lvl w:ilvl="8">
      <w:start w:val="1"/>
      <w:numFmt w:val="bullet"/>
      <w:lvlText w:val=""/>
      <w:lvlJc w:val="left"/>
      <w:pPr>
        <w:tabs>
          <w:tab w:val="num" w:pos="3969"/>
        </w:tabs>
        <w:ind w:left="3969" w:hanging="283"/>
      </w:pPr>
      <w:rPr>
        <w:rFonts w:ascii="Symbol" w:hAnsi="Symbol" w:hint="default"/>
        <w:b/>
        <w:bCs/>
        <w:i w:val="0"/>
        <w:iCs w:val="0"/>
        <w:caps w:val="0"/>
        <w:strike w:val="0"/>
        <w:dstrike w:val="0"/>
        <w:vanish w:val="0"/>
        <w:color w:val="auto"/>
        <w:spacing w:val="0"/>
        <w:w w:val="100"/>
        <w:position w:val="0"/>
        <w:sz w:val="22"/>
        <w:szCs w:val="22"/>
        <w:vertAlign w:val="baseline"/>
      </w:rPr>
    </w:lvl>
  </w:abstractNum>
  <w:abstractNum w:abstractNumId="2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2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2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26"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27"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16"/>
  </w:num>
  <w:num w:numId="2">
    <w:abstractNumId w:val="15"/>
  </w:num>
  <w:num w:numId="3">
    <w:abstractNumId w:val="7"/>
  </w:num>
  <w:num w:numId="4">
    <w:abstractNumId w:val="22"/>
  </w:num>
  <w:num w:numId="5">
    <w:abstractNumId w:val="18"/>
  </w:num>
  <w:num w:numId="6">
    <w:abstractNumId w:val="23"/>
  </w:num>
  <w:num w:numId="7">
    <w:abstractNumId w:val="25"/>
  </w:num>
  <w:num w:numId="8">
    <w:abstractNumId w:val="24"/>
  </w:num>
  <w:num w:numId="9">
    <w:abstractNumId w:val="19"/>
  </w:num>
  <w:num w:numId="10">
    <w:abstractNumId w:val="6"/>
  </w:num>
  <w:num w:numId="11">
    <w:abstractNumId w:val="4"/>
  </w:num>
  <w:num w:numId="12">
    <w:abstractNumId w:val="27"/>
  </w:num>
  <w:num w:numId="13">
    <w:abstractNumId w:val="8"/>
  </w:num>
  <w:num w:numId="14">
    <w:abstractNumId w:val="9"/>
  </w:num>
  <w:num w:numId="15">
    <w:abstractNumId w:val="20"/>
  </w:num>
  <w:num w:numId="16">
    <w:abstractNumId w:val="26"/>
  </w:num>
  <w:num w:numId="17">
    <w:abstractNumId w:val="11"/>
  </w:num>
  <w:num w:numId="18">
    <w:abstractNumId w:val="17"/>
  </w:num>
  <w:num w:numId="19">
    <w:abstractNumId w:val="10"/>
  </w:num>
  <w:num w:numId="20">
    <w:abstractNumId w:val="14"/>
  </w:num>
  <w:num w:numId="21">
    <w:abstractNumId w:val="12"/>
  </w:num>
  <w:num w:numId="22">
    <w:abstractNumId w:val="21"/>
  </w:num>
  <w:num w:numId="23">
    <w:abstractNumId w:val="13"/>
  </w:num>
  <w:num w:numId="24">
    <w:abstractNumId w:val="21"/>
  </w:num>
  <w:num w:numId="25">
    <w:abstractNumId w:val="21"/>
  </w:num>
  <w:num w:numId="26">
    <w:abstractNumId w:val="21"/>
  </w:num>
  <w:num w:numId="27">
    <w:abstractNumId w:val="5"/>
  </w:num>
  <w:num w:numId="28">
    <w:abstractNumId w:val="21"/>
  </w:num>
  <w:num w:numId="29">
    <w:abstractNumId w:val="21"/>
  </w:num>
  <w:num w:numId="30">
    <w:abstractNumId w:val="21"/>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4EC3"/>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61C"/>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22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C3A"/>
    <w:rsid w:val="001E4DEE"/>
    <w:rsid w:val="001E51D7"/>
    <w:rsid w:val="001E525E"/>
    <w:rsid w:val="001E5AD9"/>
    <w:rsid w:val="001E5D59"/>
    <w:rsid w:val="001E5F96"/>
    <w:rsid w:val="001E6762"/>
    <w:rsid w:val="001E691D"/>
    <w:rsid w:val="001E723D"/>
    <w:rsid w:val="001E7410"/>
    <w:rsid w:val="001E767D"/>
    <w:rsid w:val="001E7D00"/>
    <w:rsid w:val="001F034B"/>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848"/>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17C4E"/>
    <w:rsid w:val="00220385"/>
    <w:rsid w:val="00220821"/>
    <w:rsid w:val="00220BC0"/>
    <w:rsid w:val="00220C72"/>
    <w:rsid w:val="00220D32"/>
    <w:rsid w:val="00220DD4"/>
    <w:rsid w:val="00220E64"/>
    <w:rsid w:val="00220EFC"/>
    <w:rsid w:val="00222C05"/>
    <w:rsid w:val="00222CF0"/>
    <w:rsid w:val="00222FAA"/>
    <w:rsid w:val="00223475"/>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0E56"/>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11A"/>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4DD6"/>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B27"/>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40E"/>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2FEC"/>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124"/>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781"/>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4EA"/>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B4F"/>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338"/>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B81"/>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982"/>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926"/>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CCE"/>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296"/>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53"/>
    <w:rsid w:val="00942E6A"/>
    <w:rsid w:val="00943403"/>
    <w:rsid w:val="009435F6"/>
    <w:rsid w:val="009439C0"/>
    <w:rsid w:val="009444C5"/>
    <w:rsid w:val="00944B21"/>
    <w:rsid w:val="00945B7F"/>
    <w:rsid w:val="00945DBC"/>
    <w:rsid w:val="0094656B"/>
    <w:rsid w:val="009469D3"/>
    <w:rsid w:val="00946CDD"/>
    <w:rsid w:val="00946DEF"/>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4BE"/>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01B"/>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2AB"/>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D9B"/>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05F0"/>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2E0B"/>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6FE0"/>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A9"/>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178"/>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1EB"/>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18B"/>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6E3"/>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56A"/>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247"/>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1C84"/>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19E"/>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522"/>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BC9"/>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77DF6"/>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A15"/>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16"/>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A66"/>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C1018B"/>
    <w:pPr>
      <w:numPr>
        <w:numId w:val="22"/>
      </w:numPr>
      <w:pBdr>
        <w:top w:val="single" w:sz="4" w:space="1" w:color="auto"/>
        <w:bottom w:val="single" w:sz="4" w:space="1" w:color="auto"/>
      </w:pBdr>
      <w:shd w:val="clear" w:color="auto" w:fill="92D050"/>
      <w:spacing w:before="120" w:after="120" w:line="240" w:lineRule="atLeast"/>
      <w:jc w:val="both"/>
      <w:outlineLvl w:val="0"/>
    </w:pPr>
    <w:rPr>
      <w:rFonts w:cs="Times New Roman Bold"/>
      <w:b/>
      <w:bCs/>
      <w:sz w:val="22"/>
      <w:szCs w:val="22"/>
      <w:lang w:val="bg-BG" w:eastAsia="en-US"/>
    </w:rPr>
  </w:style>
  <w:style w:type="paragraph" w:styleId="20">
    <w:name w:val="heading 2"/>
    <w:basedOn w:val="a3"/>
    <w:next w:val="a3"/>
    <w:link w:val="21"/>
    <w:qFormat/>
    <w:rsid w:val="0098401B"/>
    <w:pPr>
      <w:pageBreakBefore/>
      <w:tabs>
        <w:tab w:val="left" w:pos="709"/>
      </w:tabs>
      <w:spacing w:before="120" w:after="120" w:line="240" w:lineRule="atLeast"/>
      <w:jc w:val="both"/>
      <w:outlineLvl w:val="1"/>
    </w:pPr>
    <w:rPr>
      <w:rFonts w:cs="Times New Roman Bold"/>
      <w:b/>
      <w:bCs/>
      <w:sz w:val="22"/>
      <w:szCs w:val="56"/>
      <w:u w:val="single"/>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C1018B"/>
    <w:rPr>
      <w:rFonts w:cs="Times New Roman Bold"/>
      <w:b/>
      <w:bCs/>
      <w:sz w:val="22"/>
      <w:szCs w:val="22"/>
      <w:shd w:val="clear" w:color="auto" w:fill="92D050"/>
      <w:lang w:eastAsia="en-US"/>
    </w:rPr>
  </w:style>
  <w:style w:type="character" w:customStyle="1" w:styleId="21">
    <w:name w:val="Заглавие 2 Знак"/>
    <w:link w:val="20"/>
    <w:locked/>
    <w:rsid w:val="0098401B"/>
    <w:rPr>
      <w:rFonts w:cs="Times New Roman Bold"/>
      <w:b/>
      <w:bCs/>
      <w:sz w:val="22"/>
      <w:szCs w:val="56"/>
      <w:u w:val="single"/>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21"/>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tabs>
        <w:tab w:val="left" w:pos="680"/>
      </w:tabs>
      <w:spacing w:before="240" w:after="60" w:line="240" w:lineRule="auto"/>
      <w:jc w:val="left"/>
    </w:pPr>
    <w:rPr>
      <w:rFonts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0"/>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0">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 w:type="paragraph" w:customStyle="1" w:styleId="-1">
    <w:name w:val="Вес-1"/>
    <w:basedOn w:val="a3"/>
    <w:next w:val="-2"/>
    <w:qFormat/>
    <w:rsid w:val="00B656A9"/>
    <w:pPr>
      <w:numPr>
        <w:numId w:val="23"/>
      </w:numPr>
      <w:pBdr>
        <w:top w:val="single" w:sz="4" w:space="1" w:color="auto"/>
        <w:bottom w:val="single" w:sz="4" w:space="1" w:color="auto"/>
      </w:pBdr>
      <w:shd w:val="clear" w:color="auto" w:fill="D9D9D9" w:themeFill="background1" w:themeFillShade="D9"/>
      <w:spacing w:before="120" w:after="120" w:line="0" w:lineRule="atLeast"/>
      <w:jc w:val="both"/>
      <w:outlineLvl w:val="0"/>
    </w:pPr>
    <w:rPr>
      <w:b/>
      <w:bCs/>
      <w:caps/>
      <w:sz w:val="22"/>
      <w:szCs w:val="144"/>
      <w:lang w:val="bg-BG" w:eastAsia="en-US"/>
    </w:rPr>
  </w:style>
  <w:style w:type="paragraph" w:customStyle="1" w:styleId="-2">
    <w:name w:val="Вес-2"/>
    <w:basedOn w:val="-1"/>
    <w:qFormat/>
    <w:rsid w:val="00B656A9"/>
    <w:pPr>
      <w:numPr>
        <w:ilvl w:val="1"/>
      </w:numPr>
      <w:pBdr>
        <w:top w:val="none" w:sz="0" w:space="0" w:color="auto"/>
        <w:bottom w:val="none" w:sz="0" w:space="0" w:color="auto"/>
      </w:pBdr>
      <w:shd w:val="clear" w:color="auto" w:fill="auto"/>
    </w:pPr>
  </w:style>
  <w:style w:type="paragraph" w:customStyle="1" w:styleId="-3">
    <w:name w:val="Вес-3"/>
    <w:basedOn w:val="-2"/>
    <w:qFormat/>
    <w:rsid w:val="00B656A9"/>
    <w:pPr>
      <w:numPr>
        <w:ilvl w:val="2"/>
      </w:numPr>
    </w:pPr>
    <w:rPr>
      <w:caps w:val="0"/>
      <w:u w:val="single"/>
    </w:rPr>
  </w:style>
  <w:style w:type="paragraph" w:customStyle="1" w:styleId="-4">
    <w:name w:val="Вес-4"/>
    <w:basedOn w:val="-3"/>
    <w:qFormat/>
    <w:rsid w:val="00B656A9"/>
    <w:pPr>
      <w:numPr>
        <w:ilvl w:val="3"/>
      </w:numPr>
    </w:pPr>
    <w:rPr>
      <w:b w:val="0"/>
      <w:u w:val="none"/>
    </w:rPr>
  </w:style>
  <w:style w:type="paragraph" w:customStyle="1" w:styleId="-5">
    <w:name w:val="Вес-5"/>
    <w:basedOn w:val="-4"/>
    <w:qFormat/>
    <w:rsid w:val="00B656A9"/>
    <w:pPr>
      <w:numPr>
        <w:ilvl w:val="4"/>
      </w:numPr>
    </w:pPr>
  </w:style>
  <w:style w:type="paragraph" w:customStyle="1" w:styleId="-6">
    <w:name w:val="Вес-6"/>
    <w:basedOn w:val="-5"/>
    <w:qFormat/>
    <w:rsid w:val="00B656A9"/>
    <w:pPr>
      <w:numPr>
        <w:ilvl w:val="5"/>
      </w:numPr>
    </w:pPr>
  </w:style>
  <w:style w:type="paragraph" w:customStyle="1" w:styleId="-7">
    <w:name w:val="Вес-7"/>
    <w:basedOn w:val="-6"/>
    <w:qFormat/>
    <w:rsid w:val="00B656A9"/>
    <w:pPr>
      <w:numPr>
        <w:ilvl w:val="6"/>
      </w:numPr>
    </w:pPr>
  </w:style>
  <w:style w:type="paragraph" w:customStyle="1" w:styleId="-8">
    <w:name w:val="Вес-8"/>
    <w:basedOn w:val="-7"/>
    <w:qFormat/>
    <w:rsid w:val="00B656A9"/>
    <w:pPr>
      <w:numPr>
        <w:ilvl w:val="7"/>
      </w:numPr>
    </w:pPr>
  </w:style>
  <w:style w:type="paragraph" w:customStyle="1" w:styleId="-9">
    <w:name w:val="Вес-9"/>
    <w:basedOn w:val="-8"/>
    <w:qFormat/>
    <w:rsid w:val="00B656A9"/>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66231583">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6DE5-FE5A-4EA5-BC22-D4EEC75E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1364</Words>
  <Characters>7778</Characters>
  <Application>Microsoft Office Word</Application>
  <DocSecurity>0</DocSecurity>
  <Lines>64</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9124</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34</cp:revision>
  <cp:lastPrinted>2016-09-14T05:36:00Z</cp:lastPrinted>
  <dcterms:created xsi:type="dcterms:W3CDTF">2016-08-22T12:54:00Z</dcterms:created>
  <dcterms:modified xsi:type="dcterms:W3CDTF">2016-11-17T13:23:00Z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